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Bourcier Marie-Hélène/SAM :</w:t>
      </w:r>
    </w:p>
    <w:p>
      <w:pPr>
        <w:pStyle w:val="style26"/>
        <w:numPr>
          <w:ilvl w:val="0"/>
          <w:numId w:val="1"/>
        </w:numPr>
      </w:pPr>
      <w:bookmarkStart w:id="0" w:name="__DdeLink__24266_587849233"/>
      <w:r>
        <w:rPr/>
        <w:t xml:space="preserve">section IV Queer Savoir, « Epistémologie des espaces de savoir et des disciplines : le point de vue subalterne » in </w:t>
      </w:r>
      <w:r>
        <w:rPr>
          <w:i/>
        </w:rPr>
        <w:t>Queer Zones, Politiques des identités sexuelles et des savoirs</w:t>
      </w:r>
      <w:r>
        <w:rPr/>
        <w:t>, Paris, Amsterdam, 2001, pp.149-156.</w:t>
      </w:r>
    </w:p>
    <w:p>
      <w:pPr>
        <w:pStyle w:val="style26"/>
      </w:pPr>
      <w:hyperlink r:id="rId2">
        <w:r>
          <w:rPr>
            <w:rStyle w:val="style16"/>
          </w:rPr>
          <w:t>https://www.academia.edu/4482086/Queer_Zones_3_Identit%C3%A9s_Cultures_Politiques_Paris_Editions_Amsterdam_2011</w:t>
        </w:r>
      </w:hyperlink>
    </w:p>
    <w:p>
      <w:pPr>
        <w:pStyle w:val="style26"/>
        <w:numPr>
          <w:ilvl w:val="0"/>
          <w:numId w:val="1"/>
        </w:numPr>
      </w:pPr>
      <w:r>
        <w:rPr/>
        <w:t>« Talk dirty to me : cultural studies et politiques de la discipline » in Sexpolitiques, Queer Zones 2,Paris, LA fabrique, 2005, pp. 9-34.</w:t>
      </w:r>
    </w:p>
    <w:p>
      <w:pPr>
        <w:pStyle w:val="style26"/>
      </w:pPr>
      <w:hyperlink r:id="rId3">
        <w:r>
          <w:rPr>
            <w:rStyle w:val="style16"/>
          </w:rPr>
          <w:t>https://www.academia.edu/4478214/Sexpolitiques._Queer_Zones_2_Paris_La_Fabrique_2005</w:t>
        </w:r>
      </w:hyperlink>
    </w:p>
    <w:p>
      <w:pPr>
        <w:pStyle w:val="style26"/>
        <w:numPr>
          <w:ilvl w:val="0"/>
          <w:numId w:val="1"/>
        </w:numPr>
      </w:pPr>
      <w:r>
        <w:rPr/>
        <w:t xml:space="preserve">section Ready for te Cultural Turn, </w:t>
      </w:r>
      <w:r>
        <w:rPr>
          <w:i/>
        </w:rPr>
        <w:t>Queer Zones 3, Identités, Culture, Politiques</w:t>
      </w:r>
      <w:r>
        <w:rPr/>
        <w:t>, Paris Amsterdam,2011, pp. 85-170</w:t>
      </w:r>
    </w:p>
    <w:p>
      <w:pPr>
        <w:pStyle w:val="style26"/>
      </w:pPr>
      <w:hyperlink r:id="rId4">
        <w:bookmarkStart w:id="1" w:name="__DdeLink__24266_587849233"/>
        <w:bookmarkEnd w:id="1"/>
        <w:r>
          <w:rPr>
            <w:rStyle w:val="style16"/>
          </w:rPr>
          <w:t>https://www.academia.edu/4482086/Queer_Zones_3_Identit%C3%A9s_Cultures_Politiques_Paris_Editions_Amsterdam_2011</w:t>
        </w:r>
      </w:hyperlink>
    </w:p>
    <w:p>
      <w:pPr>
        <w:pStyle w:val="style26"/>
        <w:numPr>
          <w:ilvl w:val="0"/>
          <w:numId w:val="1"/>
        </w:numPr>
      </w:pPr>
      <w:r>
        <w:rPr/>
        <w:t xml:space="preserve">avec Rachele Borghi et Cha Prieur, « Performing Academy : Feedback and diffusion strategies for queer Scholactivists in France, </w:t>
      </w:r>
    </w:p>
    <w:p>
      <w:pPr>
        <w:pStyle w:val="style0"/>
      </w:pPr>
      <w:r>
        <w:rPr/>
        <w:t xml:space="preserve">Castro-Gomez Santiago, « (Post)Coloniality for Dummies : Latin American Perspectives on Modernity, Coloniality and the Geopolitics of Knowledge » in </w:t>
      </w:r>
      <w:r>
        <w:rPr>
          <w:i/>
        </w:rPr>
        <w:t>Coloniality At Large</w:t>
      </w:r>
      <w:r>
        <w:rPr/>
        <w:t>, Morana Mabel, Dussel Enrique &amp; Jauregui Carlos. A, Durham &amp; Londres, Duke University Press, 2008, pp. 259-285.</w:t>
      </w:r>
    </w:p>
    <w:p>
      <w:pPr>
        <w:pStyle w:val="style0"/>
      </w:pPr>
      <w:r>
        <w:rPr/>
        <w:t>Ferguson, Roderick. A</w:t>
      </w:r>
    </w:p>
    <w:p>
      <w:pPr>
        <w:pStyle w:val="style26"/>
        <w:numPr>
          <w:ilvl w:val="0"/>
          <w:numId w:val="1"/>
        </w:numPr>
      </w:pPr>
      <w:r>
        <w:rPr/>
        <w:t xml:space="preserve">Introduction, « Epistemology, Political Economy and Regulation » &amp; « Culture, Heterogeneity and Rupture » in </w:t>
      </w:r>
      <w:r>
        <w:rPr>
          <w:i/>
        </w:rPr>
        <w:t>Towards a Queer of Color Critique, Aberrations in Black</w:t>
      </w:r>
      <w:r>
        <w:rPr/>
        <w:t>, Minneapolis &amp; Londres, University of Minnesota Press, 2004, pp.18-29.</w:t>
      </w:r>
    </w:p>
    <w:p>
      <w:pPr>
        <w:pStyle w:val="style26"/>
        <w:numPr>
          <w:ilvl w:val="0"/>
          <w:numId w:val="1"/>
        </w:numPr>
      </w:pPr>
      <w:r>
        <w:rPr/>
        <w:t xml:space="preserve">« The Specter of Woodridge : Canonical Formations and the Anticanonical in Invisible Man » in </w:t>
      </w:r>
      <w:r>
        <w:rPr>
          <w:i/>
        </w:rPr>
        <w:t>Towards a Queer of Color Critique, Aberrations in Black</w:t>
      </w:r>
      <w:r>
        <w:rPr/>
        <w:t>, Minneapolis, Londres, University of Minesota Press, 2004, pp.54-81.</w:t>
      </w:r>
    </w:p>
    <w:p>
      <w:pPr>
        <w:pStyle w:val="style26"/>
        <w:numPr>
          <w:ilvl w:val="0"/>
          <w:numId w:val="1"/>
        </w:numPr>
      </w:pPr>
      <w:r>
        <w:rPr/>
        <w:t xml:space="preserve">« The Birth of the Interdisciplines » in </w:t>
      </w:r>
      <w:r>
        <w:rPr>
          <w:i/>
        </w:rPr>
        <w:t>The Reorder of Things, The University and its Pedagogies of Minority Difference</w:t>
      </w:r>
      <w:r>
        <w:rPr/>
        <w:t>, Minneapolis &amp; Londres, University of Minnesota Press, 2004, pp.19-40.</w:t>
      </w:r>
    </w:p>
    <w:p>
      <w:pPr>
        <w:pStyle w:val="style26"/>
      </w:pPr>
      <w:bookmarkStart w:id="2" w:name="_GoBack"/>
      <w:bookmarkStart w:id="3" w:name="_GoBack"/>
      <w:bookmarkEnd w:id="3"/>
      <w:r>
        <w:rPr/>
      </w:r>
    </w:p>
    <w:p>
      <w:pPr>
        <w:pStyle w:val="style26"/>
      </w:pPr>
      <w:r>
        <w:rPr/>
      </w:r>
    </w:p>
    <w:p>
      <w:pPr>
        <w:pStyle w:val="style26"/>
      </w:pPr>
      <w:r>
        <w:rPr/>
      </w:r>
    </w:p>
    <w:sectPr>
      <w:type w:val="nextPage"/>
      <w:pgSz w:h="16838" w:w="11906"/>
      <w:pgMar w:bottom="1418" w:footer="0" w:gutter="0" w:header="0" w:left="1418" w:right="1418" w:top="1418"/>
      <w:pgNumType w:fmt="decimal"/>
      <w:formProt w:val="false"/>
      <w:textDirection w:val="lrTb"/>
      <w:docGrid w:charSpace="-8193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variable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1"/>
  <w:defaultTabStop w:val="708"/>
</w:settings>
</file>

<file path=word/styles.xml><?xml version="1.0" encoding="utf-8"?>
<w:styles xmlns:w="http://schemas.openxmlformats.org/wordprocessingml/2006/main">
  <w:style w:styleId="style0" w:type="paragraph">
    <w:name w:val="Standard"/>
    <w:next w:val="style0"/>
    <w:pPr>
      <w:widowControl/>
      <w:tabs/>
      <w:suppressAutoHyphens w:val="true"/>
    </w:pPr>
    <w:rPr>
      <w:rFonts w:ascii="Times New Roman" w:cs="" w:eastAsia="Arial Unicode MS" w:hAnsi="Times New Roman"/>
      <w:color w:val="auto"/>
      <w:sz w:val="28"/>
      <w:szCs w:val="24"/>
      <w:lang w:bidi="ar-SA" w:eastAsia="fr-FR" w:val="fr-FR"/>
    </w:rPr>
  </w:style>
  <w:style w:styleId="style1" w:type="paragraph">
    <w:name w:val="Titre 1"/>
    <w:basedOn w:val="style0"/>
    <w:next w:val="style20"/>
    <w:pPr>
      <w:keepNext/>
      <w:spacing w:after="60" w:before="240"/>
      <w:contextualSpacing w:val="false"/>
    </w:pPr>
    <w:rPr>
      <w:rFonts w:ascii="Arial" w:hAnsi="Arial"/>
      <w:b/>
      <w:sz w:val="32"/>
      <w:szCs w:val="32"/>
    </w:rPr>
  </w:style>
  <w:style w:styleId="style15" w:type="character">
    <w:name w:val="Default Paragraph Font"/>
    <w:next w:val="style15"/>
    <w:rPr/>
  </w:style>
  <w:style w:styleId="style16" w:type="character">
    <w:name w:val="Lien Internet"/>
    <w:basedOn w:val="style15"/>
    <w:next w:val="style16"/>
    <w:rPr>
      <w:color w:val="0000FF"/>
      <w:u w:val="single"/>
      <w:lang w:bidi="fr-FR" w:eastAsia="fr-FR" w:val="fr-FR"/>
    </w:rPr>
  </w:style>
  <w:style w:styleId="style17" w:type="character">
    <w:name w:val="FollowedHyperlink"/>
    <w:basedOn w:val="style15"/>
    <w:next w:val="style17"/>
    <w:rPr>
      <w:color w:val="800080"/>
      <w:u w:val="single"/>
    </w:rPr>
  </w:style>
  <w:style w:styleId="style18" w:type="character">
    <w:name w:val="ListLabel 1"/>
    <w:next w:val="style18"/>
    <w:rPr>
      <w:rFonts w:cs=""/>
    </w:rPr>
  </w:style>
  <w:style w:styleId="style19" w:type="paragraph">
    <w:name w:val="Titre"/>
    <w:basedOn w:val="style0"/>
    <w:next w:val="style20"/>
    <w:pPr>
      <w:keepNext/>
      <w:spacing w:after="120" w:before="240"/>
      <w:contextualSpacing w:val="false"/>
    </w:pPr>
    <w:rPr>
      <w:rFonts w:ascii="Arial" w:cs="Arial Unicode MS" w:eastAsia="Arial Unicode MS" w:hAnsi="Arial"/>
      <w:sz w:val="28"/>
      <w:szCs w:val="28"/>
    </w:rPr>
  </w:style>
  <w:style w:styleId="style20" w:type="paragraph">
    <w:name w:val="Corps de texte"/>
    <w:basedOn w:val="style0"/>
    <w:next w:val="style20"/>
    <w:pPr>
      <w:spacing w:after="120" w:before="0"/>
      <w:contextualSpacing w:val="false"/>
    </w:pPr>
    <w:rPr/>
  </w:style>
  <w:style w:styleId="style21" w:type="paragraph">
    <w:name w:val="Liste"/>
    <w:basedOn w:val="style20"/>
    <w:next w:val="style21"/>
    <w:pPr/>
    <w:rPr/>
  </w:style>
  <w:style w:styleId="style22" w:type="paragraph">
    <w:name w:val="Légende"/>
    <w:basedOn w:val="style0"/>
    <w:next w:val="style22"/>
    <w:pPr>
      <w:suppressLineNumbers/>
      <w:spacing w:after="120" w:before="120"/>
      <w:contextualSpacing w:val="false"/>
    </w:pPr>
    <w:rPr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/>
  </w:style>
  <w:style w:styleId="style24" w:type="paragraph">
    <w:name w:val="Balloon Text"/>
    <w:basedOn w:val="style0"/>
    <w:next w:val="style24"/>
    <w:pPr/>
    <w:rPr>
      <w:rFonts w:ascii="Lucida Grande" w:hAnsi="Lucida Grande"/>
      <w:sz w:val="18"/>
      <w:szCs w:val="18"/>
    </w:rPr>
  </w:style>
  <w:style w:styleId="style25" w:type="paragraph">
    <w:name w:val="Style2"/>
    <w:basedOn w:val="style1"/>
    <w:next w:val="style25"/>
    <w:pPr/>
    <w:rPr>
      <w:rFonts w:ascii="Times New Roman" w:hAnsi="Times New Roman"/>
      <w:b w:val="false"/>
      <w:sz w:val="28"/>
    </w:rPr>
  </w:style>
  <w:style w:styleId="style26" w:type="paragraph">
    <w:name w:val="List Paragraph"/>
    <w:basedOn w:val="style0"/>
    <w:next w:val="style26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academia.edu/4482086/Queer_Zones_3_Identit&#233;s_Cultures_Politiques_Paris_Editions_Amsterdam_2011" TargetMode="External"/><Relationship Id="rId3" Type="http://schemas.openxmlformats.org/officeDocument/2006/relationships/hyperlink" Target="https://www.academia.edu/4478214/Sexpolitiques._Queer_Zones_2_Paris_La_Fabrique_2005" TargetMode="External"/><Relationship Id="rId4" Type="http://schemas.openxmlformats.org/officeDocument/2006/relationships/hyperlink" Target="https://www.academia.edu/4482086/Queer_Zones_3_Identit&#233;s_Cultures_Politiques_Paris_Editions_Amsterdam_2011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Microsoft Macintosh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2015-04-15T10:06:00.00Z</dcterms:created>
  <dc:creator>marie-helene bourcier</dc:creator>
  <cp:lastModifiedBy>marie-helene bourcier</cp:lastModifiedBy>
  <dcterms:modified xsi:type="dcterms:W3CDTF">2015-04-15T10:50:00.00Z</dcterms:modified>
  <cp:revision>1</cp:revision>
</cp:coreProperties>
</file>